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42" w:name="_GoBack"/>
      <w:bookmarkEnd w:id="42"/>
      <w:r>
        <w:rPr>
          <w:rFonts w:hint="default" w:ascii="Times New Roman" w:hAnsi="Times New Roman" w:cs="Times New Roman"/>
          <w:b/>
          <w:sz w:val="24"/>
          <w:szCs w:val="24"/>
        </w:rPr>
        <w:t>Table 2: S</w:t>
      </w:r>
      <w:r>
        <w:rPr>
          <w:rFonts w:hint="default" w:ascii="Times New Roman" w:hAnsi="Times New Roman" w:cs="Times New Roman"/>
          <w:b/>
          <w:sz w:val="24"/>
          <w:szCs w:val="24"/>
        </w:rPr>
        <w:t>tatement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of the Quality control of G-Rg1</w:t>
      </w:r>
    </w:p>
    <w:tbl>
      <w:tblPr>
        <w:tblStyle w:val="6"/>
        <w:tblW w:w="840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170"/>
        <w:gridCol w:w="1559"/>
        <w:gridCol w:w="1559"/>
        <w:gridCol w:w="14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bookmarkStart w:id="0" w:name="OLE_LINK63"/>
            <w:bookmarkStart w:id="1" w:name="_Hlk11055362"/>
            <w:bookmarkStart w:id="0" w:name="OLE_LINK63"/>
            <w:bookmarkStart w:id="1" w:name="_Hlk11055362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Study </w:t>
            </w:r>
          </w:p>
        </w:tc>
        <w:tc>
          <w:tcPr>
            <w:tcW w:w="21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Source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Species,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Concentration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Quality control reported? (Y/N)</w:t>
            </w:r>
          </w:p>
        </w:tc>
        <w:tc>
          <w:tcPr>
            <w:tcW w:w="14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Chemical analysis reported? (Y/N)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  <w:tcBorders>
              <w:top w:val="single" w:color="auto" w:sz="4" w:space="0"/>
            </w:tcBorders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Chen et al. 2005 </w:t>
            </w:r>
          </w:p>
        </w:tc>
        <w:tc>
          <w:tcPr>
            <w:tcW w:w="2170" w:type="dxa"/>
            <w:tcBorders>
              <w:top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bookmarkStart w:id="2" w:name="OLE_LINK77"/>
            <w:bookmarkStart w:id="3" w:name="OLE_LINK76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Jilin Hongjiu Biological Technology Co., Ltd (Jilin, China)</w:t>
            </w:r>
            <w:bookmarkEnd w:id="2"/>
            <w:bookmarkEnd w:id="3"/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bookmarkStart w:id="4" w:name="OLE_LINK89"/>
            <w:bookmarkStart w:id="5" w:name="OLE_LINK90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</w:t>
            </w:r>
            <w:bookmarkEnd w:id="4"/>
            <w:bookmarkEnd w:id="5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C. A. Mey. Intragastric Injection at 20mg/kg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br w:type="textWrapping"/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bookmarkStart w:id="6" w:name="OLE_LINK30"/>
            <w:bookmarkStart w:id="7" w:name="OLE_LINK29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Y – </w:t>
            </w:r>
            <w:bookmarkStart w:id="8" w:name="OLE_LINK34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According to</w:t>
            </w:r>
            <w:bookmarkEnd w:id="8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Lot number (</w:t>
            </w:r>
            <w:bookmarkEnd w:id="6"/>
            <w:bookmarkEnd w:id="7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20040504)</w:t>
            </w:r>
          </w:p>
        </w:tc>
        <w:tc>
          <w:tcPr>
            <w:tcW w:w="1456" w:type="dxa"/>
            <w:tcBorders>
              <w:top w:val="single" w:color="auto" w:sz="4" w:space="0"/>
            </w:tcBorders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bookmarkStart w:id="9" w:name="OLE_LINK35"/>
            <w:bookmarkStart w:id="10" w:name="OLE_LINK36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Y– HPLC</w:t>
            </w:r>
            <w:bookmarkEnd w:id="9"/>
            <w:bookmarkEnd w:id="10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/UV</w:t>
            </w:r>
          </w:p>
          <w:p>
            <w:pPr>
              <w:tabs>
                <w:tab w:val="left" w:pos="798"/>
              </w:tabs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bookmarkStart w:id="11" w:name="_Hlk11063010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Chen et al. 2011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Shanghai Tongtian Biological Technology Co., Ltd (Shanghai, China)  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Intragastric Injection at 50mg/kg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br w:type="textWrapping"/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– According to Lot number (07080421)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– HPLC</w:t>
            </w:r>
          </w:p>
        </w:tc>
      </w:tr>
      <w:bookmarkEnd w:id="11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Chen et al. 2017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Jilin Hongjiu Biological Technology Co., Ltd (Jilin, China)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20mg/kg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bookmarkStart w:id="12" w:name="OLE_LINK32"/>
            <w:bookmarkStart w:id="13" w:name="OLE_LINK31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– According to Lot number (</w:t>
            </w:r>
            <w:bookmarkEnd w:id="12"/>
            <w:bookmarkEnd w:id="13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RSZD-121106)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– HPLC/UV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Fang et al. 2012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The Department of Biochemistry of Jilin University, China.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10mg/kg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Hu et al. 2004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Not Reported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10,50mg/kg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Li et al. 2007</w:t>
            </w:r>
          </w:p>
        </w:tc>
        <w:tc>
          <w:tcPr>
            <w:tcW w:w="2170" w:type="dxa"/>
          </w:tcPr>
          <w:p>
            <w:pPr>
              <w:spacing w:line="450" w:lineRule="atLeast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The Chinese National Institute for The Control of Pharmaceutical And Biological Products (Beijing, China)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Intragastric Injection at 20, 40mg/kg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– HPLC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Li et al. 2004  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Jilin Hongjiu Biological Technology Co., Ltd (Jilin, China)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Intragastric Injection at 20mg/kg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– HPLC/UV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Li et al. 2015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Shanghai Yuanye Bio-Technology Co., Ltd (Shanghai, China)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7.5,15,30mg/kg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br w:type="textWrapping"/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Li et al. 2016a</w:t>
            </w:r>
          </w:p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Sigma‑Aldrich, St. Louis, MO, USA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0.1, 1, 10mg/kg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– HPLC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Li et al. 2016b 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Shanghai Yuanye Bio-Technology Co., Ltd (Shanghai, China).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30 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Liu et al. 2015 </w:t>
            </w:r>
          </w:p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Xi’an Haoxuan Biological Technology Co., Ltd (Xi’an, China)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60mg/kg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br w:type="textWrapping"/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– UV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Nie et al. 2017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Prof. Zhendan He, College of Life Sciences, Shenzhen University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20mg/kg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Peng et al. 2011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Jilin Hongjiu Biological Technology Co., Ltd (Jilin, China)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20mg/kg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– HPLC/UV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Quan et al. 2013  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Hongjiu Biotech. Co., Ltd. (Jilin, China)  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10mg/kg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– HPLC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Shi et al. 2008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Organic Chemistry Laboratory of Norman Bethune Health Science Center of Jilin University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2.5, 5, 10mg/kg 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Shi et al. 2012</w:t>
            </w:r>
          </w:p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Sigma (St. Louis, MO, USA)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Intravenous Injection at 10mg/kg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- HPLC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Shi et al. 2018</w:t>
            </w:r>
          </w:p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bookmarkStart w:id="14" w:name="OLE_LINK18"/>
            <w:bookmarkStart w:id="15" w:name="OLE_LINK17"/>
            <w:bookmarkStart w:id="16" w:name="OLE_LINK19"/>
            <w:bookmarkStart w:id="17" w:name="OLE_LINK20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ESITE Biotech Co. Ltd.</w:t>
            </w:r>
            <w:bookmarkEnd w:id="14"/>
            <w:bookmarkEnd w:id="15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, (Chengdu, China)</w:t>
            </w:r>
            <w:bookmarkEnd w:id="16"/>
            <w:bookmarkEnd w:id="17"/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Intragastric Injection at 7.5 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Song et al. 2013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bookmarkStart w:id="18" w:name="OLE_LINK70"/>
            <w:bookmarkStart w:id="19" w:name="OLE_LINK71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Jilin University (Jilin, China)</w:t>
            </w:r>
            <w:bookmarkEnd w:id="18"/>
            <w:bookmarkEnd w:id="19"/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Intragastric Injection at 5, 10, 20mg/kg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Wang et al. 200</w:t>
            </w:r>
          </w:p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</w:t>
            </w:r>
          </w:p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Organic Chemistry Laboratory of Norman Bethune Health Science Center of Jilin University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5, 10mg/kg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Wang et al. 2010</w:t>
            </w:r>
          </w:p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bookmarkStart w:id="20" w:name="OLE_LINK52"/>
            <w:bookmarkStart w:id="21" w:name="OLE_LINK53"/>
            <w:bookmarkStart w:id="22" w:name="OLE_LINK24"/>
            <w:bookmarkStart w:id="23" w:name="OLE_LINK47"/>
            <w:bookmarkStart w:id="24" w:name="OLE_LINK23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Shanghai Innovative Research Center of Traditional Chinese Medicine</w:t>
            </w:r>
            <w:bookmarkEnd w:id="20"/>
            <w:bookmarkEnd w:id="21"/>
            <w:bookmarkEnd w:id="22"/>
            <w:bookmarkEnd w:id="23"/>
            <w:bookmarkEnd w:id="24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(Shanghai, China)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6, 12mg/kg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 - HPLC</w:t>
            </w:r>
          </w:p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Wang et al. 2014b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bookmarkStart w:id="25" w:name="OLE_LINK72"/>
            <w:bookmarkStart w:id="26" w:name="OLE_LINK73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The Institute of Pharmaceutical Research of Xiehe Medical University of China</w:t>
            </w:r>
            <w:bookmarkEnd w:id="25"/>
            <w:bookmarkEnd w:id="26"/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Intragastric Injection at 2, 5mg/kg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– HPLC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Wu et al. 2007</w:t>
            </w:r>
          </w:p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Organic Chemistry Laboratory of Norman Bethune Health Science Center of Jilin University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5mg/kg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Wu et al. 2011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Not Reported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5mg/kg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Xiang et al. 2017</w:t>
            </w:r>
          </w:p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Jilin Hongjiu Biological Technology Co., Ltd (Jilin, China)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40 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– HPLC/UV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Yang et al. 2013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bookmarkStart w:id="27" w:name="OLE_LINK45"/>
            <w:bookmarkStart w:id="28" w:name="OLE_LINK46"/>
            <w:bookmarkStart w:id="29" w:name="OLE_LINK62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Organic Chemistry Laboratory, College of Basic Medical Sciences of Jilin University</w:t>
            </w:r>
            <w:bookmarkEnd w:id="27"/>
            <w:bookmarkEnd w:id="28"/>
            <w:bookmarkEnd w:id="29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(Jilin, China)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Intragastric Injection at 6mg/kg/3D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Ye et al. 2017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Shanghai Tongtian Biological Technology Co., Ltd (Shanghai, China)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Intragastric Injection at 50mg/kg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– According to Lot number (12080421)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- HPLC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Yuan et al. 2016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Xi’an Haoxuan Biological Technology Co., Ltd (Xi’an, China)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100 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- UV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Zhang et al. 2012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bookmarkStart w:id="30" w:name="OLE_LINK27"/>
            <w:bookmarkStart w:id="31" w:name="OLE_LINK25"/>
            <w:bookmarkStart w:id="32" w:name="OLE_LINK26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The National Institute for The Control of Pharmaceutical And Biological Products</w:t>
            </w:r>
            <w:bookmarkEnd w:id="30"/>
            <w:bookmarkEnd w:id="31"/>
            <w:bookmarkEnd w:id="32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(Beijing, China)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5, 10, 20mg/kg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– HPLC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Zhang et al. 2017a  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bookmarkStart w:id="33" w:name="OLE_LINK28"/>
            <w:bookmarkStart w:id="34" w:name="OLE_LINK48"/>
            <w:bookmarkStart w:id="35" w:name="OLE_LINK33"/>
            <w:bookmarkStart w:id="36" w:name="OLE_LINK60"/>
            <w:bookmarkStart w:id="37" w:name="OLE_LINK61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The Chinese National Institute for The Control of Pharmaceutical And Biological Products</w:t>
            </w:r>
            <w:bookmarkEnd w:id="33"/>
            <w:bookmarkEnd w:id="34"/>
            <w:bookmarkEnd w:id="35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(Beijing, China)</w:t>
            </w:r>
            <w:bookmarkEnd w:id="36"/>
            <w:bookmarkEnd w:id="37"/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Panax, Ginseng C. A. Mey. Oral Gavage at 15 mg/kg/D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br w:type="textWrapping"/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– HPLC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Zhang et al. 2017b</w:t>
            </w:r>
          </w:p>
        </w:tc>
        <w:tc>
          <w:tcPr>
            <w:tcW w:w="2170" w:type="dxa"/>
            <w:vAlign w:val="top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The Institute of Pharmaceutical Research of Xiehe Medical University of China</w:t>
            </w:r>
          </w:p>
        </w:tc>
        <w:tc>
          <w:tcPr>
            <w:tcW w:w="1559" w:type="dxa"/>
            <w:vAlign w:val="top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Intragastric Injection at 2, 5mg/kg </w:t>
            </w:r>
          </w:p>
        </w:tc>
        <w:tc>
          <w:tcPr>
            <w:tcW w:w="1559" w:type="dxa"/>
            <w:vAlign w:val="top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  <w:vAlign w:val="top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– HPLC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Zhou et al. 2011</w:t>
            </w: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Norman Bethune Health Science Center of Jilin University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10 mg/ 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8" w:type="dxa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Zhu et al. 2014</w:t>
            </w:r>
          </w:p>
          <w:p>
            <w:pPr>
              <w:spacing w:line="48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70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bookmarkStart w:id="38" w:name="OLE_LINK57"/>
            <w:bookmarkStart w:id="39" w:name="OLE_LINK58"/>
            <w:bookmarkStart w:id="40" w:name="OLE_LINK56"/>
            <w:bookmarkStart w:id="41" w:name="OLE_LINK59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Xi’an Haoxuan Biological Technology Co., Ltd (Xi’an, China</w:t>
            </w:r>
            <w:bookmarkEnd w:id="38"/>
            <w:bookmarkEnd w:id="39"/>
            <w:bookmarkEnd w:id="40"/>
            <w:bookmarkEnd w:id="41"/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Panax, Ginseng C. A. Mey. Intraperitoneal Injected at 20 mg/kg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– According to Lot number (RSZD-121106)</w:t>
            </w:r>
          </w:p>
        </w:tc>
        <w:tc>
          <w:tcPr>
            <w:tcW w:w="1456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Y - UV</w:t>
            </w:r>
          </w:p>
        </w:tc>
      </w:tr>
      <w:bookmarkEnd w:id="0"/>
      <w:bookmarkEnd w:id="1"/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1E40F47A-2D6B-9074-CA82-BE5D55CD853D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8C665B2F-7B7D-E8F8-CA82-BE5DB7FD3937}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29463B9D-CB56-DDBF-CA82-BE5DB46AAAB6}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 Light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Grande">
    <w:panose1 w:val="020B0600040502020204"/>
    <w:charset w:val="00"/>
    <w:family w:val="auto"/>
    <w:pitch w:val="default"/>
    <w:sig w:usb0="E1000AEF" w:usb1="5000A1FF" w:usb2="00000000" w:usb3="00000000" w:csb0="200001BF" w:csb1="4F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embedTrueType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4F"/>
    <w:rsid w:val="000458CD"/>
    <w:rsid w:val="000702D9"/>
    <w:rsid w:val="000B0342"/>
    <w:rsid w:val="00121B78"/>
    <w:rsid w:val="00174414"/>
    <w:rsid w:val="001B7650"/>
    <w:rsid w:val="001D70C6"/>
    <w:rsid w:val="00297F4D"/>
    <w:rsid w:val="002B6A4F"/>
    <w:rsid w:val="002D17D9"/>
    <w:rsid w:val="00305F49"/>
    <w:rsid w:val="003238BB"/>
    <w:rsid w:val="00371D2E"/>
    <w:rsid w:val="003860B7"/>
    <w:rsid w:val="003C11BC"/>
    <w:rsid w:val="003C7329"/>
    <w:rsid w:val="003E27EA"/>
    <w:rsid w:val="004008D1"/>
    <w:rsid w:val="004015F7"/>
    <w:rsid w:val="004E4962"/>
    <w:rsid w:val="004F7B21"/>
    <w:rsid w:val="005213FC"/>
    <w:rsid w:val="00552716"/>
    <w:rsid w:val="005545D9"/>
    <w:rsid w:val="005F250A"/>
    <w:rsid w:val="00602626"/>
    <w:rsid w:val="006900E4"/>
    <w:rsid w:val="006B3787"/>
    <w:rsid w:val="007054A8"/>
    <w:rsid w:val="00715996"/>
    <w:rsid w:val="00721832"/>
    <w:rsid w:val="00746869"/>
    <w:rsid w:val="00756F82"/>
    <w:rsid w:val="008A040A"/>
    <w:rsid w:val="00987B74"/>
    <w:rsid w:val="009A6E35"/>
    <w:rsid w:val="009D72D6"/>
    <w:rsid w:val="00A257B8"/>
    <w:rsid w:val="00A429EB"/>
    <w:rsid w:val="00AC6772"/>
    <w:rsid w:val="00AD1764"/>
    <w:rsid w:val="00AD5C59"/>
    <w:rsid w:val="00AF2105"/>
    <w:rsid w:val="00AF6ADD"/>
    <w:rsid w:val="00B070C1"/>
    <w:rsid w:val="00C05145"/>
    <w:rsid w:val="00C46407"/>
    <w:rsid w:val="00C62ADE"/>
    <w:rsid w:val="00C706E4"/>
    <w:rsid w:val="00CB5F7C"/>
    <w:rsid w:val="00CC15B4"/>
    <w:rsid w:val="00D53F12"/>
    <w:rsid w:val="00D919BC"/>
    <w:rsid w:val="00E01BA7"/>
    <w:rsid w:val="00E70972"/>
    <w:rsid w:val="00EC5DA7"/>
    <w:rsid w:val="00F25625"/>
    <w:rsid w:val="7BFB1E68"/>
    <w:rsid w:val="BF0F847F"/>
    <w:rsid w:val="CBFD1703"/>
    <w:rsid w:val="DDFF7491"/>
    <w:rsid w:val="EAD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1052</Words>
  <Characters>6000</Characters>
  <Lines>50</Lines>
  <Paragraphs>14</Paragraphs>
  <ScaleCrop>false</ScaleCrop>
  <LinksUpToDate>false</LinksUpToDate>
  <CharactersWithSpaces>7038</CharactersWithSpaces>
  <Application>WPS Office_1.4.0.1935_F1E327BC-269C-435d-A152-05C5408002CA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2019-06-07T04:11:00Z</dcterms:created>
  <dc:creator>rl261</dc:creator>
  <cp:lastModifiedBy>hai-yongliang</cp:lastModifiedBy>
  <dcterms:modified xsi:type="dcterms:W3CDTF">2019-11-03T15:33:30Z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